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23494" w14:textId="77777777" w:rsidR="00672D84" w:rsidRPr="00A53B06" w:rsidRDefault="002844A4">
      <w:pPr>
        <w:pStyle w:val="Heading1"/>
        <w:jc w:val="center"/>
        <w:rPr>
          <w:color w:val="auto"/>
        </w:rPr>
      </w:pPr>
      <w:r w:rsidRPr="00A53B06">
        <w:rPr>
          <w:color w:val="auto"/>
        </w:rPr>
        <w:t>REQUEST FOR QUALIFICATIONS</w:t>
      </w:r>
    </w:p>
    <w:p w14:paraId="471807A1" w14:textId="77777777" w:rsidR="00672D84" w:rsidRPr="00A53B06" w:rsidRDefault="002844A4">
      <w:pPr>
        <w:pStyle w:val="Heading2"/>
        <w:jc w:val="center"/>
        <w:rPr>
          <w:color w:val="auto"/>
        </w:rPr>
      </w:pPr>
      <w:r w:rsidRPr="00A53B06">
        <w:rPr>
          <w:color w:val="auto"/>
        </w:rPr>
        <w:t>Property &amp; Liability Insurance Broker/Servicing Agency</w:t>
      </w:r>
    </w:p>
    <w:p w14:paraId="7FE97A9C" w14:textId="352BF8D1" w:rsidR="00672D84" w:rsidRDefault="002844A4">
      <w:r>
        <w:br/>
        <w:t>1. GENERAL INFORMATION</w:t>
      </w:r>
      <w:r>
        <w:br/>
      </w:r>
      <w:r>
        <w:br/>
        <w:t>The City of Rushville is requesting Statements of Qualifications (SOQ) from qualified insurance brokers/agencies to provide professional brokerage and servicing assistance for the City’s Property &amp; Liability insurance program.</w:t>
      </w:r>
      <w:r>
        <w:br/>
      </w:r>
      <w:r>
        <w:br/>
        <w:t>The City is seeking a qualified partner with experience serving municipalities and public entities in Indiana. The selected firm will assist the City with evaluating risk exposures, reviewing current coverage, marketing insurance programs, assisting with claims support, and providing ongoing insurance consulting and servicing.</w:t>
      </w:r>
      <w:r>
        <w:br/>
      </w:r>
      <w:r>
        <w:br/>
        <w:t>The City of Rushville is a municipal government located in Rush County, Indiana, serving approximately 6,200 residents. The City owns and operates various municipal assets and departments, including but not limited to:</w:t>
      </w:r>
      <w:r>
        <w:br/>
      </w:r>
      <w:r>
        <w:br/>
        <w:t>• Administrative facilities</w:t>
      </w:r>
      <w:r>
        <w:br/>
        <w:t>• Police department operations</w:t>
      </w:r>
      <w:r>
        <w:br/>
        <w:t>• Fire department operations</w:t>
      </w:r>
      <w:r>
        <w:br/>
        <w:t>• Street department facilities and equipment</w:t>
      </w:r>
      <w:r>
        <w:br/>
        <w:t>• Parks and recreation facilities</w:t>
      </w:r>
      <w:r>
        <w:br/>
        <w:t>• Utility and stormwater infrastructure</w:t>
      </w:r>
      <w:r>
        <w:br/>
        <w:t>• Municipal fleet vehicles and heavy equipment</w:t>
      </w:r>
      <w:r>
        <w:br/>
        <w:t>• Trails, sidewalks, shelters, and public infrastructure</w:t>
      </w:r>
      <w:r>
        <w:br/>
      </w:r>
      <w:r>
        <w:br/>
        <w:t>The City intends to review its current insurance structure and establish a strong working relationship with a broker/servicing agency capable of providing responsive service and long-term risk management assistance.</w:t>
      </w:r>
      <w:r>
        <w:br/>
      </w:r>
      <w:r>
        <w:br/>
        <w:t>2. SCOPE OF SERVICES</w:t>
      </w:r>
      <w:r>
        <w:br/>
      </w:r>
      <w:r>
        <w:br/>
        <w:t>The selected firm may be asked to provide services including, but not limited to:</w:t>
      </w:r>
      <w:r>
        <w:br/>
      </w:r>
      <w:r>
        <w:br/>
        <w:t>• Review of current insurance coverages and limits</w:t>
      </w:r>
      <w:r>
        <w:br/>
        <w:t>• Identification of coverage gaps and risk exposures</w:t>
      </w:r>
      <w:r>
        <w:br/>
        <w:t>• Assistance with property and equipment schedules</w:t>
      </w:r>
      <w:r>
        <w:br/>
        <w:t>• Marketing of insurance programs to carriers</w:t>
      </w:r>
      <w:r>
        <w:br/>
        <w:t>• Annual renewal assistance and premium analysis</w:t>
      </w:r>
      <w:r>
        <w:br/>
      </w:r>
      <w:r>
        <w:lastRenderedPageBreak/>
        <w:t>• Claims assistance and advocacy</w:t>
      </w:r>
      <w:r>
        <w:br/>
        <w:t>• Certificate of insurance management</w:t>
      </w:r>
      <w:r>
        <w:br/>
        <w:t>• Risk management recommendations</w:t>
      </w:r>
      <w:r>
        <w:br/>
        <w:t>• Loss control assistance</w:t>
      </w:r>
      <w:r>
        <w:br/>
        <w:t>• Assistance with valuation and replacement cost analysis</w:t>
      </w:r>
      <w:r>
        <w:br/>
        <w:t>• Consultation regarding cyber liability and technology exposures</w:t>
      </w:r>
      <w:r>
        <w:br/>
        <w:t>• Support with future capital projects and operational changes</w:t>
      </w:r>
      <w:r>
        <w:br/>
        <w:t>• Regular communication and service support throughout the policy term</w:t>
      </w:r>
      <w:r>
        <w:br/>
      </w:r>
      <w:r>
        <w:br/>
        <w:t>Coverage areas may include:</w:t>
      </w:r>
      <w:r>
        <w:br/>
      </w:r>
      <w:r>
        <w:br/>
        <w:t>• Property</w:t>
      </w:r>
      <w:r>
        <w:br/>
        <w:t>• General Liability</w:t>
      </w:r>
      <w:r>
        <w:br/>
        <w:t>• Automobile Liability</w:t>
      </w:r>
      <w:r>
        <w:br/>
        <w:t>• Public Officials Liability</w:t>
      </w:r>
      <w:r>
        <w:br/>
        <w:t>• Law Enforcement Liability</w:t>
      </w:r>
      <w:r>
        <w:br/>
        <w:t>• Umbrella/Excess Liability</w:t>
      </w:r>
      <w:r>
        <w:br/>
        <w:t>• Cyber Liability</w:t>
      </w:r>
      <w:r>
        <w:br/>
        <w:t>• Inland Marine/Equipment</w:t>
      </w:r>
      <w:r>
        <w:br/>
        <w:t>• Crime/Fidelity</w:t>
      </w:r>
      <w:r>
        <w:br/>
        <w:t>• Pollution Liability</w:t>
      </w:r>
      <w:r>
        <w:br/>
        <w:t>• Boiler &amp; Machinery</w:t>
      </w:r>
      <w:r>
        <w:br/>
        <w:t>• Workers Compensation</w:t>
      </w:r>
      <w:r>
        <w:br/>
        <w:t>• Additional municipal-related coverages as applicable</w:t>
      </w:r>
      <w:r>
        <w:br/>
      </w:r>
      <w:r>
        <w:br/>
        <w:t>3. MINIMUM QUALIFICATIONS</w:t>
      </w:r>
      <w:r>
        <w:br/>
      </w:r>
      <w:r>
        <w:br/>
        <w:t>Respondents should demonstrate:</w:t>
      </w:r>
      <w:r>
        <w:br/>
      </w:r>
      <w:r>
        <w:br/>
        <w:t>• Experience serving municipalities or public entities</w:t>
      </w:r>
      <w:r>
        <w:br/>
        <w:t>• Knowledge of Indiana municipal insurance requirements</w:t>
      </w:r>
      <w:r>
        <w:br/>
        <w:t>• Ability to provide responsive local or regional support</w:t>
      </w:r>
      <w:r>
        <w:br/>
        <w:t>• Experience managing municipal claims and risk exposures</w:t>
      </w:r>
      <w:r>
        <w:br/>
        <w:t>• Financial stability and organizational capacity</w:t>
      </w:r>
      <w:r>
        <w:br/>
        <w:t>• Access to qualified insurance markets and carriers</w:t>
      </w:r>
      <w:r>
        <w:br/>
      </w:r>
      <w:r>
        <w:br/>
        <w:t>4. SUBMITTAL REQUIREMENTS</w:t>
      </w:r>
      <w:r>
        <w:br/>
      </w:r>
      <w:r>
        <w:br/>
        <w:t>A. Firm Overview</w:t>
      </w:r>
      <w:r>
        <w:br/>
        <w:t>• Company name and office locations</w:t>
      </w:r>
      <w:r>
        <w:br/>
        <w:t>• Years in business</w:t>
      </w:r>
      <w:r>
        <w:br/>
        <w:t>• Ownership structure</w:t>
      </w:r>
      <w:r>
        <w:br/>
        <w:t>• Primary contact information</w:t>
      </w:r>
      <w:r>
        <w:br/>
      </w:r>
      <w:r>
        <w:lastRenderedPageBreak/>
        <w:t>• Number of employees</w:t>
      </w:r>
      <w:r>
        <w:br/>
      </w:r>
      <w:r>
        <w:br/>
        <w:t>B. Municipal Experience</w:t>
      </w:r>
      <w:r>
        <w:br/>
        <w:t>• Description of experience with municipalities or public entities</w:t>
      </w:r>
      <w:r>
        <w:br/>
        <w:t>• List of comparable municipal clients</w:t>
      </w:r>
      <w:r>
        <w:br/>
        <w:t>• Description of services currently provided to municipal clients</w:t>
      </w:r>
      <w:r>
        <w:br/>
      </w:r>
      <w:r>
        <w:br/>
        <w:t>C. Service Approach</w:t>
      </w:r>
      <w:r>
        <w:br/>
        <w:t>• Description of claims support process</w:t>
      </w:r>
      <w:r>
        <w:br/>
        <w:t>• Renewal and marketing approach</w:t>
      </w:r>
      <w:r>
        <w:br/>
        <w:t>• Risk management and loss control services</w:t>
      </w:r>
      <w:r>
        <w:br/>
        <w:t>• Communication and response expectations</w:t>
      </w:r>
      <w:r>
        <w:br/>
        <w:t>• Availability for on-site meetings or inspections</w:t>
      </w:r>
      <w:r>
        <w:br/>
      </w:r>
      <w:r>
        <w:br/>
        <w:t>D. Staffing</w:t>
      </w:r>
      <w:r>
        <w:br/>
        <w:t>• Identify staff who would service the account</w:t>
      </w:r>
      <w:r>
        <w:br/>
        <w:t>• Include qualifications and experience of key personnel</w:t>
      </w:r>
      <w:r>
        <w:br/>
      </w:r>
      <w:r>
        <w:br/>
        <w:t>E. References</w:t>
      </w:r>
      <w:r>
        <w:br/>
        <w:t>Provide at least three (3) municipal or public entity references, including:</w:t>
      </w:r>
      <w:r>
        <w:br/>
        <w:t>• Organization name</w:t>
      </w:r>
      <w:r>
        <w:br/>
        <w:t>• Contact person</w:t>
      </w:r>
      <w:r>
        <w:br/>
        <w:t>• Phone number</w:t>
      </w:r>
      <w:r>
        <w:br/>
        <w:t>• Email address</w:t>
      </w:r>
      <w:r>
        <w:br/>
      </w:r>
      <w:r>
        <w:br/>
        <w:t>F. Compensation Disclosure</w:t>
      </w:r>
      <w:r>
        <w:br/>
        <w:t>Provide a description of:</w:t>
      </w:r>
      <w:r>
        <w:br/>
        <w:t>• Compensation structure</w:t>
      </w:r>
      <w:r>
        <w:br/>
        <w:t>• Commissions</w:t>
      </w:r>
      <w:r>
        <w:br/>
        <w:t>• Fees</w:t>
      </w:r>
      <w:r>
        <w:br/>
        <w:t>• Contingent compensation arrangements, if any</w:t>
      </w:r>
      <w:r>
        <w:br/>
      </w:r>
      <w:r>
        <w:br/>
        <w:t>5. SELECTION CRITERIA</w:t>
      </w:r>
      <w:r>
        <w:br/>
      </w:r>
      <w:r>
        <w:br/>
        <w:t>Qualifications may be evaluated based upon:</w:t>
      </w:r>
      <w:r>
        <w:br/>
      </w:r>
      <w:r>
        <w:br/>
        <w:t>• Municipal/public entity experience</w:t>
      </w:r>
      <w:r>
        <w:br/>
        <w:t>• Qualifications of assigned personnel</w:t>
      </w:r>
      <w:r>
        <w:br/>
        <w:t>• Responsiveness and communication</w:t>
      </w:r>
      <w:r>
        <w:br/>
        <w:t>• Understanding of municipal risk exposures</w:t>
      </w:r>
      <w:r>
        <w:br/>
        <w:t>• Claims support capabilities</w:t>
      </w:r>
      <w:r>
        <w:br/>
        <w:t>• Overall approach and value to the City</w:t>
      </w:r>
      <w:r>
        <w:br/>
        <w:t>• References</w:t>
      </w:r>
      <w:r>
        <w:br/>
      </w:r>
      <w:r>
        <w:lastRenderedPageBreak/>
        <w:t>• Cost structure</w:t>
      </w:r>
      <w:r>
        <w:br/>
      </w:r>
      <w:r>
        <w:br/>
        <w:t>The City reserves the right to interview selected firms prior to making a final decision.</w:t>
      </w:r>
      <w:r>
        <w:br/>
      </w:r>
      <w:r>
        <w:br/>
        <w:t>6. TERM</w:t>
      </w:r>
      <w:r>
        <w:br/>
      </w:r>
      <w:r>
        <w:br/>
        <w:t>The City anticipates selecting a broker/servicing agency for an initial term to be determined by the City, with the possibility of future renewals upon mutual agreement.</w:t>
      </w:r>
      <w:r>
        <w:br/>
      </w:r>
      <w:r>
        <w:br/>
        <w:t>7. SUBMISSION INFORMATION</w:t>
      </w:r>
      <w:r>
        <w:br/>
      </w:r>
      <w:r>
        <w:br/>
        <w:t>Statements of Qualifications shall be submitted no later than:</w:t>
      </w:r>
      <w:r>
        <w:br/>
      </w:r>
      <w:r>
        <w:br/>
      </w:r>
      <w:r w:rsidR="00B762EC">
        <w:t>June 19, 2026</w:t>
      </w:r>
      <w:r>
        <w:t xml:space="preserve"> at </w:t>
      </w:r>
      <w:r w:rsidR="00B762EC">
        <w:t>4:00pm</w:t>
      </w:r>
      <w:r>
        <w:br/>
      </w:r>
      <w:r>
        <w:br/>
        <w:t>Submittals may be delivered to:</w:t>
      </w:r>
      <w:r>
        <w:br/>
      </w:r>
      <w:r>
        <w:br/>
        <w:t>City of Rushville</w:t>
      </w:r>
      <w:r>
        <w:br/>
        <w:t xml:space="preserve">Attn: </w:t>
      </w:r>
      <w:r w:rsidR="00B762EC">
        <w:t>Kyle Gardner</w:t>
      </w:r>
      <w:r>
        <w:br/>
      </w:r>
      <w:r w:rsidR="00B762EC">
        <w:t>330 N Main St</w:t>
      </w:r>
      <w:r>
        <w:br/>
        <w:t>Rushville, IN 46173</w:t>
      </w:r>
      <w:r>
        <w:br/>
      </w:r>
      <w:r>
        <w:br/>
        <w:t>Electronic submissions may also be accepted at:</w:t>
      </w:r>
      <w:r>
        <w:br/>
      </w:r>
      <w:r>
        <w:br/>
      </w:r>
      <w:r w:rsidR="00B762EC">
        <w:t>specialprojects@cityofrushville.in.gov</w:t>
      </w:r>
      <w:r>
        <w:br/>
      </w:r>
      <w:r>
        <w:br/>
        <w:t>Late submissions may not be considered.</w:t>
      </w:r>
      <w:r>
        <w:br/>
      </w:r>
      <w:r>
        <w:br/>
        <w:t>8. RESERVATION OF RIGHTS</w:t>
      </w:r>
      <w:r>
        <w:br/>
      </w:r>
      <w:r>
        <w:br/>
        <w:t>The City reserves the right to:</w:t>
      </w:r>
      <w:r>
        <w:br/>
      </w:r>
      <w:r>
        <w:br/>
        <w:t>• Reject any or all submittals</w:t>
      </w:r>
      <w:r>
        <w:br/>
        <w:t>• Waive informalities or irregularities</w:t>
      </w:r>
      <w:r>
        <w:br/>
        <w:t>• Request additional information</w:t>
      </w:r>
      <w:r>
        <w:br/>
        <w:t>• Conduct interviews</w:t>
      </w:r>
      <w:r>
        <w:br/>
        <w:t>• Negotiate with selected firms</w:t>
      </w:r>
      <w:r>
        <w:br/>
        <w:t>• Cancel or modify this RFQ at any time</w:t>
      </w:r>
      <w:r>
        <w:br/>
      </w:r>
      <w:r>
        <w:br/>
        <w:t>This RFQ does not obligate the City to award a contract or pay any costs incurred in the preparation of a response.</w:t>
      </w:r>
      <w:r>
        <w:br/>
      </w:r>
      <w:r>
        <w:br/>
        <w:t>9. QUESTIONS</w:t>
      </w:r>
      <w:r>
        <w:br/>
      </w:r>
      <w:r>
        <w:lastRenderedPageBreak/>
        <w:br/>
        <w:t>Questions regarding this RFQ shall be directed to:</w:t>
      </w:r>
      <w:r>
        <w:br/>
      </w:r>
      <w:r>
        <w:br/>
      </w:r>
      <w:r w:rsidR="00FF58F3">
        <w:t>Kyle Gardner</w:t>
      </w:r>
      <w:r>
        <w:br/>
      </w:r>
      <w:r w:rsidR="00FF58F3">
        <w:t>Special Projects</w:t>
      </w:r>
      <w:r>
        <w:br/>
      </w:r>
      <w:r w:rsidR="00FF58F3">
        <w:t>765-561-0806</w:t>
      </w:r>
      <w:r>
        <w:br/>
      </w:r>
      <w:r w:rsidR="00FF58F3">
        <w:t>specialprojects@cityofrushville.in.gov</w:t>
      </w:r>
      <w:r>
        <w:br/>
      </w:r>
    </w:p>
    <w:sectPr w:rsidR="00672D8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19565615">
    <w:abstractNumId w:val="8"/>
  </w:num>
  <w:num w:numId="2" w16cid:durableId="371882916">
    <w:abstractNumId w:val="6"/>
  </w:num>
  <w:num w:numId="3" w16cid:durableId="190925828">
    <w:abstractNumId w:val="5"/>
  </w:num>
  <w:num w:numId="4" w16cid:durableId="1741174370">
    <w:abstractNumId w:val="4"/>
  </w:num>
  <w:num w:numId="5" w16cid:durableId="1790007374">
    <w:abstractNumId w:val="7"/>
  </w:num>
  <w:num w:numId="6" w16cid:durableId="1704208988">
    <w:abstractNumId w:val="3"/>
  </w:num>
  <w:num w:numId="7" w16cid:durableId="1768500309">
    <w:abstractNumId w:val="2"/>
  </w:num>
  <w:num w:numId="8" w16cid:durableId="673186638">
    <w:abstractNumId w:val="1"/>
  </w:num>
  <w:num w:numId="9" w16cid:durableId="479231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37DB"/>
    <w:rsid w:val="002844A4"/>
    <w:rsid w:val="0029639D"/>
    <w:rsid w:val="00326F90"/>
    <w:rsid w:val="00672D84"/>
    <w:rsid w:val="00A53B06"/>
    <w:rsid w:val="00AA1D8D"/>
    <w:rsid w:val="00AD6870"/>
    <w:rsid w:val="00B47730"/>
    <w:rsid w:val="00B762EC"/>
    <w:rsid w:val="00CB0664"/>
    <w:rsid w:val="00FC693F"/>
    <w:rsid w:val="00FF5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D1066"/>
  <w14:defaultImageDpi w14:val="300"/>
  <w15:docId w15:val="{10F25565-1679-450A-8372-FB4FA42E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Kyle Gardner</cp:lastModifiedBy>
  <cp:revision>4</cp:revision>
  <dcterms:created xsi:type="dcterms:W3CDTF">2026-05-21T14:31:00Z</dcterms:created>
  <dcterms:modified xsi:type="dcterms:W3CDTF">2026-06-02T19:38:00Z</dcterms:modified>
  <cp:category/>
</cp:coreProperties>
</file>